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499E9" w14:textId="0171725D" w:rsidR="00342BCD" w:rsidRDefault="002816A3" w:rsidP="00E04F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Módulo II</w:t>
      </w:r>
    </w:p>
    <w:p w14:paraId="0000003D" w14:textId="77777777" w:rsidR="00342BCD" w:rsidRDefault="002816A3" w:rsidP="00E04F0C">
      <w:pPr>
        <w:shd w:val="clear" w:color="auto" w:fill="FFFFFF"/>
        <w:spacing w:after="120"/>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“Recrear la enseñanza en la universidad”</w:t>
      </w:r>
    </w:p>
    <w:p w14:paraId="0000003E" w14:textId="77777777" w:rsidR="00342BCD" w:rsidRDefault="00342BCD">
      <w:pPr>
        <w:shd w:val="clear" w:color="auto" w:fill="FFFFFF"/>
        <w:spacing w:after="120"/>
        <w:jc w:val="both"/>
        <w:rPr>
          <w:rFonts w:ascii="Times New Roman" w:eastAsia="Times New Roman" w:hAnsi="Times New Roman" w:cs="Times New Roman"/>
          <w:b/>
          <w:color w:val="222222"/>
        </w:rPr>
      </w:pPr>
      <w:bookmarkStart w:id="0" w:name="_heading=h.y211o9esopc9" w:colFirst="0" w:colLast="0"/>
      <w:bookmarkEnd w:id="0"/>
    </w:p>
    <w:p w14:paraId="0000003F" w14:textId="1DEAEEAB" w:rsidR="00342BCD" w:rsidRDefault="002816A3">
      <w:pPr>
        <w:shd w:val="clear" w:color="auto" w:fill="FFFFFF"/>
        <w:spacing w:after="120"/>
        <w:jc w:val="both"/>
        <w:rPr>
          <w:rFonts w:ascii="Times New Roman" w:eastAsia="Times New Roman" w:hAnsi="Times New Roman" w:cs="Times New Roman"/>
        </w:rPr>
      </w:pPr>
      <w:r>
        <w:rPr>
          <w:rFonts w:ascii="Times New Roman" w:eastAsia="Times New Roman" w:hAnsi="Times New Roman" w:cs="Times New Roman"/>
          <w:b/>
          <w:color w:val="222222"/>
        </w:rPr>
        <w:t xml:space="preserve">Docente: </w:t>
      </w:r>
      <w:r>
        <w:rPr>
          <w:rFonts w:ascii="Times New Roman" w:eastAsia="Times New Roman" w:hAnsi="Times New Roman" w:cs="Times New Roman"/>
          <w:color w:val="222222"/>
        </w:rPr>
        <w:t xml:space="preserve">MGTER. MARIA EUGENIA DANIELI. </w:t>
      </w:r>
      <w:r>
        <w:rPr>
          <w:rFonts w:ascii="Times New Roman" w:eastAsia="Times New Roman" w:hAnsi="Times New Roman" w:cs="Times New Roman"/>
        </w:rPr>
        <w:t xml:space="preserve">Docente </w:t>
      </w:r>
      <w:r w:rsidR="003C3D4C">
        <w:rPr>
          <w:rFonts w:ascii="Times New Roman" w:eastAsia="Times New Roman" w:hAnsi="Times New Roman" w:cs="Times New Roman"/>
        </w:rPr>
        <w:t xml:space="preserve">de </w:t>
      </w:r>
      <w:bookmarkStart w:id="1" w:name="_GoBack"/>
      <w:bookmarkEnd w:id="1"/>
      <w:r>
        <w:rPr>
          <w:rFonts w:ascii="Times New Roman" w:eastAsia="Times New Roman" w:hAnsi="Times New Roman" w:cs="Times New Roman"/>
        </w:rPr>
        <w:t>la Carrera de Especialización en</w:t>
      </w:r>
      <w:r>
        <w:rPr>
          <w:rFonts w:ascii="Times New Roman" w:eastAsia="Times New Roman" w:hAnsi="Times New Roman" w:cs="Times New Roman"/>
          <w:color w:val="333333"/>
        </w:rPr>
        <w:t xml:space="preserve"> </w:t>
      </w:r>
      <w:r>
        <w:rPr>
          <w:rFonts w:ascii="Times New Roman" w:eastAsia="Times New Roman" w:hAnsi="Times New Roman" w:cs="Times New Roman"/>
        </w:rPr>
        <w:t>Enseñanza de las Ciencias Agropecuarias</w:t>
      </w:r>
      <w:r>
        <w:rPr>
          <w:rFonts w:ascii="Times New Roman" w:eastAsia="Times New Roman" w:hAnsi="Times New Roman" w:cs="Times New Roman"/>
          <w:color w:val="333333"/>
        </w:rPr>
        <w:t xml:space="preserve">. </w:t>
      </w:r>
      <w:r>
        <w:rPr>
          <w:rFonts w:ascii="Times New Roman" w:eastAsia="Times New Roman" w:hAnsi="Times New Roman" w:cs="Times New Roman"/>
        </w:rPr>
        <w:t xml:space="preserve">Universidad Nacional de Córdoba. </w:t>
      </w:r>
    </w:p>
    <w:p w14:paraId="00000041" w14:textId="77777777" w:rsidR="00342BCD" w:rsidRDefault="00342BCD">
      <w:pPr>
        <w:shd w:val="clear" w:color="auto" w:fill="FFFFFF"/>
        <w:spacing w:after="120"/>
        <w:jc w:val="both"/>
        <w:rPr>
          <w:rFonts w:ascii="Times New Roman" w:eastAsia="Times New Roman" w:hAnsi="Times New Roman" w:cs="Times New Roman"/>
          <w:b/>
          <w:color w:val="222222"/>
        </w:rPr>
      </w:pPr>
      <w:bookmarkStart w:id="2" w:name="_heading=h.711kze797yda" w:colFirst="0" w:colLast="0"/>
      <w:bookmarkEnd w:id="2"/>
    </w:p>
    <w:p w14:paraId="00000042" w14:textId="77777777" w:rsidR="00342BCD" w:rsidRDefault="002816A3">
      <w:pPr>
        <w:shd w:val="clear" w:color="auto" w:fill="FFFFFF"/>
        <w:spacing w:after="1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Breve fundamentación de la temática.</w:t>
      </w:r>
    </w:p>
    <w:p w14:paraId="00000043" w14:textId="77777777" w:rsidR="00342BCD" w:rsidRDefault="002816A3" w:rsidP="007D1016">
      <w:pPr>
        <w:shd w:val="clear" w:color="auto" w:fill="FFFFFF"/>
        <w:spacing w:after="0" w:line="312"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La enseñanza es una actividad creativa y compleja, que supone acciones intencionales por parte de un docente o colectivo docente. Dichas acciones están condicionadas por aspectos institucionales, políticos y contextuales, así como por los propios saberes de los profesores, sus modos de hacer y pensar la enseñanza.</w:t>
      </w:r>
    </w:p>
    <w:p w14:paraId="00000044" w14:textId="77777777" w:rsidR="00342BCD" w:rsidRDefault="002816A3" w:rsidP="007D1016">
      <w:pPr>
        <w:shd w:val="clear" w:color="auto" w:fill="FFFFFF"/>
        <w:spacing w:after="0" w:line="312"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Desde la Didáctica, como campo de conocimiento que aborda las prácticas de enseñanza para comprenderlas y orientarlas, podemos recuperar aportes teóricos y prácticos que ayuden a los docentes en la construcción de alternativas valiosas y creativas para favorecer los procesos de aprender de sus estudiantes. Aportes que cada docente, como profesional de la enseñanza podrá recrear en virtud de sus posibilidades, su objeto de enseñanza, las características de sus estudiantes y del escenario institucional.</w:t>
      </w:r>
    </w:p>
    <w:p w14:paraId="00000045" w14:textId="77777777" w:rsidR="00342BCD" w:rsidRDefault="002816A3" w:rsidP="007D1016">
      <w:pPr>
        <w:shd w:val="clear" w:color="auto" w:fill="FFFFFF"/>
        <w:spacing w:after="0" w:line="312"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Los principales “nudos” de intervención didáctica que se abordarán en el curso remiten a las tareas de anticipación y gestión de las clases, que habitualmente nos ocupan a los docentes: las operaciones con el contenido (selección, organización, secuenciación), la construcción de estrategias didácticas y el diseño de actividades de aprendizaje. En virtud de los destinatarios estimados del curso, se </w:t>
      </w:r>
      <w:proofErr w:type="spellStart"/>
      <w:r>
        <w:rPr>
          <w:rFonts w:ascii="Times New Roman" w:eastAsia="Times New Roman" w:hAnsi="Times New Roman" w:cs="Times New Roman"/>
          <w:color w:val="222222"/>
        </w:rPr>
        <w:t>priorizá</w:t>
      </w:r>
      <w:proofErr w:type="spellEnd"/>
      <w:r>
        <w:rPr>
          <w:rFonts w:ascii="Times New Roman" w:eastAsia="Times New Roman" w:hAnsi="Times New Roman" w:cs="Times New Roman"/>
          <w:color w:val="222222"/>
        </w:rPr>
        <w:t xml:space="preserve"> el abordaje de estrategias como la problematización, los proyectos y trabajo con casos en la enseñanza universitaria. </w:t>
      </w:r>
    </w:p>
    <w:p w14:paraId="00000046" w14:textId="77777777" w:rsidR="00342BCD" w:rsidRDefault="00342BCD">
      <w:pPr>
        <w:shd w:val="clear" w:color="auto" w:fill="FFFFFF"/>
        <w:spacing w:after="120"/>
        <w:jc w:val="both"/>
        <w:rPr>
          <w:rFonts w:ascii="Times New Roman" w:eastAsia="Times New Roman" w:hAnsi="Times New Roman" w:cs="Times New Roman"/>
          <w:color w:val="222222"/>
        </w:rPr>
      </w:pPr>
    </w:p>
    <w:p w14:paraId="00000047" w14:textId="77777777" w:rsidR="00342BCD" w:rsidRDefault="00342BCD">
      <w:pPr>
        <w:shd w:val="clear" w:color="auto" w:fill="FFFFFF"/>
        <w:spacing w:after="120"/>
        <w:jc w:val="both"/>
        <w:rPr>
          <w:rFonts w:ascii="Times New Roman" w:eastAsia="Times New Roman" w:hAnsi="Times New Roman" w:cs="Times New Roman"/>
          <w:color w:val="222222"/>
        </w:rPr>
      </w:pPr>
    </w:p>
    <w:p w14:paraId="00000048" w14:textId="77777777" w:rsidR="00342BCD" w:rsidRDefault="002816A3">
      <w:pPr>
        <w:shd w:val="clear" w:color="auto" w:fill="FFFFFF"/>
        <w:spacing w:after="1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Objetivos</w:t>
      </w:r>
    </w:p>
    <w:p w14:paraId="00000049" w14:textId="77777777" w:rsidR="00342BCD" w:rsidRDefault="002816A3">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Problematizar las intervenciones didácticas para la enseñanza de contenidos específicos; en relación con el tratamiento del contenido, las estrategias didácticas y las actividades de aprendizaje. </w:t>
      </w:r>
    </w:p>
    <w:p w14:paraId="0000004A" w14:textId="77777777" w:rsidR="00342BCD" w:rsidRDefault="002816A3">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Desarrollar habilidades para el análisis de propuestas didácticas y la imaginación de alternativas superadoras.</w:t>
      </w:r>
    </w:p>
    <w:p w14:paraId="0000004B" w14:textId="77777777" w:rsidR="00342BCD" w:rsidRDefault="002816A3">
      <w:pPr>
        <w:numPr>
          <w:ilvl w:val="0"/>
          <w:numId w:val="2"/>
        </w:num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Participar en experiencias de diseño de propuestas de enseñanza y formulación de consignas que consideren tanto los procesos cognitivos de los estudiantes como el abordaje que proponen de los contenidos.</w:t>
      </w:r>
    </w:p>
    <w:p w14:paraId="2351236A" w14:textId="77777777" w:rsidR="00CB7DE5" w:rsidRDefault="00CB7DE5">
      <w:pPr>
        <w:shd w:val="clear" w:color="auto" w:fill="FFFFFF"/>
        <w:spacing w:after="120"/>
        <w:jc w:val="both"/>
        <w:rPr>
          <w:rFonts w:ascii="Times New Roman" w:eastAsia="Times New Roman" w:hAnsi="Times New Roman" w:cs="Times New Roman"/>
          <w:b/>
          <w:color w:val="222222"/>
        </w:rPr>
      </w:pPr>
    </w:p>
    <w:p w14:paraId="14C78384" w14:textId="77777777" w:rsidR="007D1016" w:rsidRDefault="007D1016">
      <w:pPr>
        <w:shd w:val="clear" w:color="auto" w:fill="FFFFFF"/>
        <w:spacing w:after="120"/>
        <w:jc w:val="both"/>
        <w:rPr>
          <w:rFonts w:ascii="Times New Roman" w:eastAsia="Times New Roman" w:hAnsi="Times New Roman" w:cs="Times New Roman"/>
          <w:b/>
          <w:color w:val="222222"/>
        </w:rPr>
      </w:pPr>
    </w:p>
    <w:p w14:paraId="450D17C0" w14:textId="77777777" w:rsidR="007D1016" w:rsidRDefault="007D1016">
      <w:pPr>
        <w:shd w:val="clear" w:color="auto" w:fill="FFFFFF"/>
        <w:spacing w:after="120"/>
        <w:jc w:val="both"/>
        <w:rPr>
          <w:rFonts w:ascii="Times New Roman" w:eastAsia="Times New Roman" w:hAnsi="Times New Roman" w:cs="Times New Roman"/>
          <w:b/>
          <w:color w:val="222222"/>
        </w:rPr>
      </w:pPr>
    </w:p>
    <w:p w14:paraId="2254EE74" w14:textId="77777777" w:rsidR="007D1016" w:rsidRDefault="007D1016">
      <w:pPr>
        <w:shd w:val="clear" w:color="auto" w:fill="FFFFFF"/>
        <w:spacing w:after="120"/>
        <w:jc w:val="both"/>
        <w:rPr>
          <w:rFonts w:ascii="Times New Roman" w:eastAsia="Times New Roman" w:hAnsi="Times New Roman" w:cs="Times New Roman"/>
          <w:b/>
          <w:color w:val="222222"/>
        </w:rPr>
      </w:pPr>
    </w:p>
    <w:p w14:paraId="0000004C" w14:textId="77777777" w:rsidR="00342BCD" w:rsidRDefault="002816A3">
      <w:pPr>
        <w:shd w:val="clear" w:color="auto" w:fill="FFFFFF"/>
        <w:spacing w:after="120"/>
        <w:jc w:val="both"/>
        <w:rPr>
          <w:rFonts w:ascii="Times New Roman" w:eastAsia="Times New Roman" w:hAnsi="Times New Roman" w:cs="Times New Roman"/>
          <w:b/>
          <w:color w:val="222222"/>
        </w:rPr>
      </w:pPr>
      <w:r>
        <w:rPr>
          <w:rFonts w:ascii="Times New Roman" w:eastAsia="Times New Roman" w:hAnsi="Times New Roman" w:cs="Times New Roman"/>
          <w:b/>
          <w:color w:val="222222"/>
        </w:rPr>
        <w:lastRenderedPageBreak/>
        <w:t>Programa sintético</w:t>
      </w:r>
    </w:p>
    <w:p w14:paraId="0000004D" w14:textId="77777777" w:rsidR="00342BCD" w:rsidRDefault="002816A3" w:rsidP="007D1016">
      <w:pPr>
        <w:shd w:val="clear" w:color="auto" w:fill="FFFFFF"/>
        <w:spacing w:after="0" w:line="312" w:lineRule="auto"/>
        <w:jc w:val="both"/>
        <w:rPr>
          <w:rFonts w:ascii="Times New Roman" w:eastAsia="Times New Roman" w:hAnsi="Times New Roman" w:cs="Times New Roman"/>
        </w:rPr>
      </w:pPr>
      <w:r>
        <w:rPr>
          <w:rFonts w:ascii="Times New Roman" w:eastAsia="Times New Roman" w:hAnsi="Times New Roman" w:cs="Times New Roman"/>
        </w:rPr>
        <w:t xml:space="preserve">El diseño de propuestas de enseñanza en la universidad. La clase imaginada como hipótesis de intervención y como anticipación de experiencias a construir colectivamente. Objetivos, contenidos (selección, organización y secuenciación), estrategias, actividades. </w:t>
      </w:r>
    </w:p>
    <w:p w14:paraId="0000004E" w14:textId="77777777" w:rsidR="00342BCD" w:rsidRDefault="002816A3" w:rsidP="007D1016">
      <w:pPr>
        <w:spacing w:after="0" w:line="312" w:lineRule="auto"/>
        <w:jc w:val="both"/>
        <w:rPr>
          <w:rFonts w:ascii="Times New Roman" w:eastAsia="Times New Roman" w:hAnsi="Times New Roman" w:cs="Times New Roman"/>
          <w:b/>
          <w:color w:val="222222"/>
        </w:rPr>
      </w:pPr>
      <w:r>
        <w:rPr>
          <w:rFonts w:ascii="Times New Roman" w:eastAsia="Times New Roman" w:hAnsi="Times New Roman" w:cs="Times New Roman"/>
        </w:rPr>
        <w:t>Las actividades como mediaciones didácticas: trabajo individual y grupal. El trabajo con casos, proyectos y problemas en la clase universitaria. Gestión de la dinámica de la clase y las interacciones.</w:t>
      </w:r>
    </w:p>
    <w:p w14:paraId="0000004F" w14:textId="77777777" w:rsidR="00342BCD" w:rsidRDefault="00342BCD">
      <w:pPr>
        <w:shd w:val="clear" w:color="auto" w:fill="FFFFFF"/>
        <w:spacing w:after="120"/>
        <w:jc w:val="both"/>
        <w:rPr>
          <w:rFonts w:ascii="Times New Roman" w:eastAsia="Times New Roman" w:hAnsi="Times New Roman" w:cs="Times New Roman"/>
          <w:b/>
          <w:color w:val="222222"/>
        </w:rPr>
      </w:pPr>
    </w:p>
    <w:p w14:paraId="00000050" w14:textId="5906AC87" w:rsidR="00342BCD" w:rsidRDefault="00FB2280">
      <w:pPr>
        <w:shd w:val="clear" w:color="auto" w:fill="FFFFFF"/>
        <w:spacing w:after="1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Metodología de trabajo y e</w:t>
      </w:r>
      <w:r w:rsidR="002816A3">
        <w:rPr>
          <w:rFonts w:ascii="Times New Roman" w:eastAsia="Times New Roman" w:hAnsi="Times New Roman" w:cs="Times New Roman"/>
          <w:b/>
          <w:color w:val="222222"/>
        </w:rPr>
        <w:t>valuación del curso</w:t>
      </w:r>
    </w:p>
    <w:p w14:paraId="00000051" w14:textId="77777777" w:rsidR="00342BCD" w:rsidRDefault="002816A3" w:rsidP="007D1016">
      <w:pPr>
        <w:spacing w:after="0" w:line="312" w:lineRule="auto"/>
        <w:jc w:val="both"/>
        <w:rPr>
          <w:rFonts w:ascii="Times New Roman" w:eastAsia="Times New Roman" w:hAnsi="Times New Roman" w:cs="Times New Roman"/>
        </w:rPr>
      </w:pPr>
      <w:r>
        <w:rPr>
          <w:rFonts w:ascii="Times New Roman" w:eastAsia="Times New Roman" w:hAnsi="Times New Roman" w:cs="Times New Roman"/>
        </w:rPr>
        <w:t>El curso asumirá el formato de Seminario-taller; promoviendo que los docentes asistentes sean los principales protagonistas en las actividades, desde la participación activa y el intercambio entre ellos. En los encuentros se expondrán orientaciones teórico-prácticas y se propenderá la recuperación de los saberes prácticos de los docentes y sus experiencias previas. A lo largo del curso se trabajará con ejemplos y propuestas de actividades y se resolverán actividades de producción, desde la reflexión sobre el valor didáctico de las alternativas consideradas. La evaluación será de proceso, por la participación en tales actividades. Para la acreditación deberán resolver una actividad final integradora que implique el diseño de una propuesta de enseñanza, recuperando las estrategias abordadas.</w:t>
      </w:r>
    </w:p>
    <w:p w14:paraId="13F91AF7" w14:textId="77777777" w:rsidR="007D1016" w:rsidRDefault="007D1016">
      <w:pPr>
        <w:shd w:val="clear" w:color="auto" w:fill="FFFFFF"/>
        <w:spacing w:after="120"/>
        <w:jc w:val="both"/>
        <w:rPr>
          <w:rFonts w:ascii="Times New Roman" w:eastAsia="Times New Roman" w:hAnsi="Times New Roman" w:cs="Times New Roman"/>
          <w:b/>
          <w:color w:val="222222"/>
        </w:rPr>
      </w:pPr>
    </w:p>
    <w:p w14:paraId="00000055" w14:textId="77777777" w:rsidR="00342BCD" w:rsidRDefault="002816A3" w:rsidP="007D1016">
      <w:pPr>
        <w:shd w:val="clear" w:color="auto" w:fill="FFFFFF"/>
        <w:spacing w:after="0" w:line="312" w:lineRule="auto"/>
        <w:jc w:val="both"/>
        <w:rPr>
          <w:rFonts w:ascii="Times New Roman" w:eastAsia="Times New Roman" w:hAnsi="Times New Roman" w:cs="Times New Roman"/>
          <w:b/>
          <w:color w:val="222222"/>
        </w:rPr>
      </w:pPr>
      <w:r>
        <w:rPr>
          <w:rFonts w:ascii="Times New Roman" w:eastAsia="Times New Roman" w:hAnsi="Times New Roman" w:cs="Times New Roman"/>
          <w:b/>
          <w:color w:val="222222"/>
        </w:rPr>
        <w:t>Material didáctico requerido.</w:t>
      </w:r>
    </w:p>
    <w:p w14:paraId="00000056" w14:textId="77777777" w:rsidR="00342BCD" w:rsidRDefault="002816A3" w:rsidP="007D1016">
      <w:pPr>
        <w:spacing w:after="0" w:line="312" w:lineRule="auto"/>
        <w:jc w:val="both"/>
        <w:rPr>
          <w:rFonts w:ascii="Times New Roman" w:eastAsia="Times New Roman" w:hAnsi="Times New Roman" w:cs="Times New Roman"/>
        </w:rPr>
      </w:pPr>
      <w:r>
        <w:rPr>
          <w:rFonts w:ascii="Times New Roman" w:eastAsia="Times New Roman" w:hAnsi="Times New Roman" w:cs="Times New Roman"/>
        </w:rPr>
        <w:t xml:space="preserve">Dado que el dictado será virtual será necesario contar con un espacio para compartir materiales y canalizar intercambios (plataforma de la institución u otro espacio a generar para el curso). </w:t>
      </w:r>
    </w:p>
    <w:p w14:paraId="00000058" w14:textId="57F6A8BF" w:rsidR="00342BCD" w:rsidRDefault="002816A3" w:rsidP="007D1016">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Se desarrollarán encuentros sincrónicos por Google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Los participantes deberán contar con acceso a internet y dispositivos con micrófono y cámara para dichos encuentros.</w:t>
      </w:r>
    </w:p>
    <w:sectPr w:rsidR="00342BC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9B1"/>
    <w:multiLevelType w:val="multilevel"/>
    <w:tmpl w:val="5F9E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9F7F85"/>
    <w:multiLevelType w:val="multilevel"/>
    <w:tmpl w:val="BFE2F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B15A67"/>
    <w:multiLevelType w:val="multilevel"/>
    <w:tmpl w:val="E166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A098F"/>
    <w:multiLevelType w:val="multilevel"/>
    <w:tmpl w:val="CB1A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F2258C"/>
    <w:multiLevelType w:val="hybridMultilevel"/>
    <w:tmpl w:val="54ACBB76"/>
    <w:lvl w:ilvl="0" w:tplc="2C0A000B">
      <w:start w:val="1"/>
      <w:numFmt w:val="bullet"/>
      <w:lvlText w:val=""/>
      <w:lvlJc w:val="left"/>
      <w:pPr>
        <w:ind w:left="861" w:hanging="360"/>
      </w:pPr>
      <w:rPr>
        <w:rFonts w:ascii="Wingdings" w:hAnsi="Wingdings" w:hint="default"/>
      </w:rPr>
    </w:lvl>
    <w:lvl w:ilvl="1" w:tplc="2C0A0003" w:tentative="1">
      <w:start w:val="1"/>
      <w:numFmt w:val="bullet"/>
      <w:lvlText w:val="o"/>
      <w:lvlJc w:val="left"/>
      <w:pPr>
        <w:ind w:left="1581" w:hanging="360"/>
      </w:pPr>
      <w:rPr>
        <w:rFonts w:ascii="Courier New" w:hAnsi="Courier New" w:cs="Courier New" w:hint="default"/>
      </w:rPr>
    </w:lvl>
    <w:lvl w:ilvl="2" w:tplc="2C0A0005" w:tentative="1">
      <w:start w:val="1"/>
      <w:numFmt w:val="bullet"/>
      <w:lvlText w:val=""/>
      <w:lvlJc w:val="left"/>
      <w:pPr>
        <w:ind w:left="2301" w:hanging="360"/>
      </w:pPr>
      <w:rPr>
        <w:rFonts w:ascii="Wingdings" w:hAnsi="Wingdings" w:hint="default"/>
      </w:rPr>
    </w:lvl>
    <w:lvl w:ilvl="3" w:tplc="2C0A0001" w:tentative="1">
      <w:start w:val="1"/>
      <w:numFmt w:val="bullet"/>
      <w:lvlText w:val=""/>
      <w:lvlJc w:val="left"/>
      <w:pPr>
        <w:ind w:left="3021" w:hanging="360"/>
      </w:pPr>
      <w:rPr>
        <w:rFonts w:ascii="Symbol" w:hAnsi="Symbol" w:hint="default"/>
      </w:rPr>
    </w:lvl>
    <w:lvl w:ilvl="4" w:tplc="2C0A0003" w:tentative="1">
      <w:start w:val="1"/>
      <w:numFmt w:val="bullet"/>
      <w:lvlText w:val="o"/>
      <w:lvlJc w:val="left"/>
      <w:pPr>
        <w:ind w:left="3741" w:hanging="360"/>
      </w:pPr>
      <w:rPr>
        <w:rFonts w:ascii="Courier New" w:hAnsi="Courier New" w:cs="Courier New" w:hint="default"/>
      </w:rPr>
    </w:lvl>
    <w:lvl w:ilvl="5" w:tplc="2C0A0005" w:tentative="1">
      <w:start w:val="1"/>
      <w:numFmt w:val="bullet"/>
      <w:lvlText w:val=""/>
      <w:lvlJc w:val="left"/>
      <w:pPr>
        <w:ind w:left="4461" w:hanging="360"/>
      </w:pPr>
      <w:rPr>
        <w:rFonts w:ascii="Wingdings" w:hAnsi="Wingdings" w:hint="default"/>
      </w:rPr>
    </w:lvl>
    <w:lvl w:ilvl="6" w:tplc="2C0A0001" w:tentative="1">
      <w:start w:val="1"/>
      <w:numFmt w:val="bullet"/>
      <w:lvlText w:val=""/>
      <w:lvlJc w:val="left"/>
      <w:pPr>
        <w:ind w:left="5181" w:hanging="360"/>
      </w:pPr>
      <w:rPr>
        <w:rFonts w:ascii="Symbol" w:hAnsi="Symbol" w:hint="default"/>
      </w:rPr>
    </w:lvl>
    <w:lvl w:ilvl="7" w:tplc="2C0A0003" w:tentative="1">
      <w:start w:val="1"/>
      <w:numFmt w:val="bullet"/>
      <w:lvlText w:val="o"/>
      <w:lvlJc w:val="left"/>
      <w:pPr>
        <w:ind w:left="5901" w:hanging="360"/>
      </w:pPr>
      <w:rPr>
        <w:rFonts w:ascii="Courier New" w:hAnsi="Courier New" w:cs="Courier New" w:hint="default"/>
      </w:rPr>
    </w:lvl>
    <w:lvl w:ilvl="8" w:tplc="2C0A0005" w:tentative="1">
      <w:start w:val="1"/>
      <w:numFmt w:val="bullet"/>
      <w:lvlText w:val=""/>
      <w:lvlJc w:val="left"/>
      <w:pPr>
        <w:ind w:left="6621"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CD"/>
    <w:rsid w:val="000A76FE"/>
    <w:rsid w:val="002816A3"/>
    <w:rsid w:val="00342BCD"/>
    <w:rsid w:val="003C3D4C"/>
    <w:rsid w:val="004051B1"/>
    <w:rsid w:val="004C1923"/>
    <w:rsid w:val="005A2AA9"/>
    <w:rsid w:val="00682FDC"/>
    <w:rsid w:val="007D1016"/>
    <w:rsid w:val="00C57285"/>
    <w:rsid w:val="00CB7DE5"/>
    <w:rsid w:val="00E04F0C"/>
    <w:rsid w:val="00E25EE9"/>
    <w:rsid w:val="00FB22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1E5D5-433E-44D8-B2D7-763E40F6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A1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464D3F"/>
    <w:rPr>
      <w:color w:val="0563C1" w:themeColor="hyperlink"/>
      <w:u w:val="single"/>
    </w:rPr>
  </w:style>
  <w:style w:type="table" w:styleId="Tablaconcuadrcula">
    <w:name w:val="Table Grid"/>
    <w:basedOn w:val="Tablanormal"/>
    <w:uiPriority w:val="39"/>
    <w:rsid w:val="00506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27A2C"/>
    <w:rPr>
      <w:rFonts w:ascii="ArialMT" w:hAnsi="ArialMT" w:hint="default"/>
      <w:b w:val="0"/>
      <w:bCs w:val="0"/>
      <w:i w:val="0"/>
      <w:iCs w:val="0"/>
      <w:color w:val="000000"/>
      <w:sz w:val="20"/>
      <w:szCs w:val="20"/>
    </w:rPr>
  </w:style>
  <w:style w:type="character" w:customStyle="1" w:styleId="Ttulo1Car">
    <w:name w:val="Título 1 Car"/>
    <w:basedOn w:val="Fuentedeprrafopredeter"/>
    <w:link w:val="Ttulo1"/>
    <w:uiPriority w:val="9"/>
    <w:rsid w:val="00DA1BE2"/>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DA1BE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A1BE2"/>
    <w:rPr>
      <w:b/>
      <w:bCs/>
    </w:rPr>
  </w:style>
  <w:style w:type="paragraph" w:styleId="Prrafodelista">
    <w:name w:val="List Paragraph"/>
    <w:basedOn w:val="Normal"/>
    <w:uiPriority w:val="34"/>
    <w:qFormat/>
    <w:rsid w:val="00DA1BE2"/>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17B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B5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2qz53/ZN8qzvIxlZA7it7HmJg==">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Yanina</cp:lastModifiedBy>
  <cp:revision>5</cp:revision>
  <dcterms:created xsi:type="dcterms:W3CDTF">2022-07-06T22:59:00Z</dcterms:created>
  <dcterms:modified xsi:type="dcterms:W3CDTF">2022-07-25T12:19:00Z</dcterms:modified>
</cp:coreProperties>
</file>