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UNIVERSIDAD NACIONAL DE ENTRE RÍOS</w:t>
      </w:r>
    </w:p>
    <w:p w:rsidR="00000000" w:rsidDel="00000000" w:rsidP="00000000" w:rsidRDefault="00000000" w:rsidRPr="00000000" w14:paraId="00000004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FACULTAD DE CIENCIAS AGROPECUARIAS</w:t>
      </w:r>
    </w:p>
    <w:p w:rsidR="00000000" w:rsidDel="00000000" w:rsidP="00000000" w:rsidRDefault="00000000" w:rsidRPr="00000000" w14:paraId="00000006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PLANIFICACIÓN DE ESPACIO CURRICULAR</w:t>
      </w:r>
    </w:p>
    <w:p w:rsidR="00000000" w:rsidDel="00000000" w:rsidP="00000000" w:rsidRDefault="00000000" w:rsidRPr="00000000" w14:paraId="00000008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12" w:val="single"/>
        </w:pBdr>
        <w:tabs>
          <w:tab w:val="left" w:pos="3730"/>
        </w:tabs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B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CARRERA: Tecnicatura Universitaria en Jardinería</w:t>
      </w:r>
    </w:p>
    <w:p w:rsidR="00000000" w:rsidDel="00000000" w:rsidP="00000000" w:rsidRDefault="00000000" w:rsidRPr="00000000" w14:paraId="0000000D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PLAN DE ESTUDIOS: 2019</w:t>
      </w:r>
    </w:p>
    <w:p w:rsidR="00000000" w:rsidDel="00000000" w:rsidP="00000000" w:rsidRDefault="00000000" w:rsidRPr="00000000" w14:paraId="0000000E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CICLO LECTIVO: </w:t>
      </w:r>
    </w:p>
    <w:p w:rsidR="00000000" w:rsidDel="00000000" w:rsidP="00000000" w:rsidRDefault="00000000" w:rsidRPr="00000000" w14:paraId="0000000F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ASIGNATURA: </w:t>
      </w:r>
    </w:p>
    <w:p w:rsidR="00000000" w:rsidDel="00000000" w:rsidP="00000000" w:rsidRDefault="00000000" w:rsidRPr="00000000" w14:paraId="00000010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CÓDIGO SIU: (NO COMPLETAR)</w:t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tabs>
          <w:tab w:val="left" w:pos="3730"/>
        </w:tabs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2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Docente a cargo de la asignatura: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Nombre y apellido: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Cargo:</w:t>
        <w:tab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Dedicación: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Correo electrónico </w:t>
      </w:r>
      <w:r w:rsidDel="00000000" w:rsidR="00000000" w:rsidRPr="00000000">
        <w:rPr>
          <w:rFonts w:ascii="Basic" w:cs="Basic" w:eastAsia="Basic" w:hAnsi="Basic"/>
          <w:color w:val="000000"/>
          <w:sz w:val="18"/>
          <w:szCs w:val="18"/>
          <w:rtl w:val="0"/>
        </w:rPr>
        <w:t xml:space="preserve">(con el que se registró en campus.uner.edu.ar, si corresponde)</w:t>
      </w: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9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A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Distribución horaria </w:t>
      </w:r>
    </w:p>
    <w:p w:rsidR="00000000" w:rsidDel="00000000" w:rsidP="00000000" w:rsidRDefault="00000000" w:rsidRPr="00000000" w14:paraId="0000001C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1"/>
        <w:gridCol w:w="1482"/>
        <w:gridCol w:w="1483"/>
        <w:gridCol w:w="1254"/>
        <w:gridCol w:w="1254"/>
        <w:gridCol w:w="1540"/>
        <w:tblGridChange w:id="0">
          <w:tblGrid>
            <w:gridCol w:w="1481"/>
            <w:gridCol w:w="1482"/>
            <w:gridCol w:w="1483"/>
            <w:gridCol w:w="1254"/>
            <w:gridCol w:w="1254"/>
            <w:gridCol w:w="154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Virtuales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Presenciales</w:t>
            </w: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Basic" w:cs="Basic" w:eastAsia="Basic" w:hAnsi="Basic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sz w:val="22"/>
                <w:szCs w:val="22"/>
                <w:rtl w:val="0"/>
              </w:rPr>
              <w:t xml:space="preserve">Total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sic" w:cs="Basic" w:eastAsia="Basic" w:hAnsi="Bas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Teóricas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Teóricas - Prácticas</w:t>
            </w: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Teóricas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Teóricas-Prácticas</w:t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Basic" w:cs="Basic" w:eastAsia="Basic" w:hAnsi="Basic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Basic" w:cs="Basic" w:eastAsia="Basic" w:hAnsi="Basic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Basic" w:cs="Basic" w:eastAsia="Basic" w:hAnsi="Basic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Consultas</w:t>
      </w:r>
      <w:r w:rsidDel="00000000" w:rsidR="00000000" w:rsidRPr="00000000">
        <w:rPr>
          <w:rFonts w:ascii="Basic" w:cs="Basic" w:eastAsia="Basic" w:hAnsi="Basic"/>
          <w:b w:val="1"/>
          <w:color w:val="000000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: (hs)</w:t>
      </w:r>
    </w:p>
    <w:p w:rsidR="00000000" w:rsidDel="00000000" w:rsidP="00000000" w:rsidRDefault="00000000" w:rsidRPr="00000000" w14:paraId="00000038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Régimen de cursado:</w:t>
      </w:r>
    </w:p>
    <w:p w:rsidR="00000000" w:rsidDel="00000000" w:rsidP="00000000" w:rsidRDefault="00000000" w:rsidRPr="00000000" w14:paraId="0000003B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</w:rPr>
        <w:drawing>
          <wp:inline distB="0" distT="0" distL="114300" distR="114300">
            <wp:extent cx="1371600" cy="26035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6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</w:rPr>
        <w:drawing>
          <wp:inline distB="0" distT="0" distL="114300" distR="114300">
            <wp:extent cx="1371600" cy="260350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6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Correlatividades para cursar el Espacio Curricular</w:t>
      </w:r>
    </w:p>
    <w:p w:rsidR="00000000" w:rsidDel="00000000" w:rsidP="00000000" w:rsidRDefault="00000000" w:rsidRPr="00000000" w14:paraId="00000041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Regularizadas: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Aprobadas:</w:t>
      </w:r>
    </w:p>
    <w:p w:rsidR="00000000" w:rsidDel="00000000" w:rsidP="00000000" w:rsidRDefault="00000000" w:rsidRPr="00000000" w14:paraId="00000044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Fundamentación del espacio curricular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i w:val="1"/>
          <w:color w:val="000000"/>
          <w:sz w:val="18"/>
          <w:szCs w:val="18"/>
          <w:rtl w:val="0"/>
        </w:rPr>
        <w:t xml:space="preserve">Indique cómo se inserta este espacio en el plan de estudios y su importancia para la formación del Técnico Universitario en Jardinería (aprox. 200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Objetivo/s General/es</w:t>
      </w:r>
    </w:p>
    <w:p w:rsidR="00000000" w:rsidDel="00000000" w:rsidP="00000000" w:rsidRDefault="00000000" w:rsidRPr="00000000" w14:paraId="0000004A">
      <w:pP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Objetivos Específicos </w:t>
      </w:r>
    </w:p>
    <w:p w:rsidR="00000000" w:rsidDel="00000000" w:rsidP="00000000" w:rsidRDefault="00000000" w:rsidRPr="00000000" w14:paraId="0000004C">
      <w:pPr>
        <w:ind w:left="426" w:hanging="426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Organización de los contenidos</w:t>
      </w:r>
    </w:p>
    <w:p w:rsidR="00000000" w:rsidDel="00000000" w:rsidP="00000000" w:rsidRDefault="00000000" w:rsidRPr="00000000" w14:paraId="0000004E">
      <w:pPr>
        <w:ind w:left="426" w:hanging="426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Programa sintético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Fonts w:ascii="Basic" w:cs="Basic" w:eastAsia="Basic" w:hAnsi="Basic"/>
          <w:i w:val="1"/>
          <w:color w:val="000000"/>
          <w:sz w:val="18"/>
          <w:szCs w:val="18"/>
          <w:rtl w:val="0"/>
        </w:rPr>
        <w:t xml:space="preserve">Contenidos mínimos (tomar del Plan de Estudios – TUJ)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Programa analítico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Fonts w:ascii="Basic" w:cs="Basic" w:eastAsia="Basic" w:hAnsi="Basic"/>
          <w:i w:val="1"/>
          <w:color w:val="000000"/>
          <w:sz w:val="18"/>
          <w:szCs w:val="18"/>
          <w:rtl w:val="0"/>
        </w:rPr>
        <w:t xml:space="preserve">Descripción de la organización de los contenidos a impartir</w:t>
      </w:r>
    </w:p>
    <w:p w:rsidR="00000000" w:rsidDel="00000000" w:rsidP="00000000" w:rsidRDefault="00000000" w:rsidRPr="00000000" w14:paraId="00000054">
      <w:pPr>
        <w:ind w:left="426" w:hanging="426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Programa de trabajos prácticos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Fonts w:ascii="Basic" w:cs="Basic" w:eastAsia="Basic" w:hAnsi="Basic"/>
          <w:i w:val="1"/>
          <w:color w:val="000000"/>
          <w:sz w:val="18"/>
          <w:szCs w:val="18"/>
          <w:rtl w:val="0"/>
        </w:rPr>
        <w:t xml:space="preserve">Descripción de cada trabajo práctico y su vinculación con el programa analítico. Indicar modalidad (presencial o virtual), carga horaria estimativa y, si corresponde, destino.</w:t>
      </w:r>
    </w:p>
    <w:p w:rsidR="00000000" w:rsidDel="00000000" w:rsidP="00000000" w:rsidRDefault="00000000" w:rsidRPr="00000000" w14:paraId="00000057">
      <w:pP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Metodología de enseñanza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Fonts w:ascii="Basic" w:cs="Basic" w:eastAsia="Basic" w:hAnsi="Basic"/>
          <w:i w:val="1"/>
          <w:color w:val="000000"/>
          <w:sz w:val="18"/>
          <w:szCs w:val="18"/>
          <w:rtl w:val="0"/>
        </w:rPr>
        <w:t xml:space="preserve">Indicar metodología y recursos didácticos de los que se servirá para el desarrollo de cada tipo de clase.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68.0" w:type="dxa"/>
        <w:jc w:val="left"/>
        <w:tblInd w:w="426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03"/>
        <w:gridCol w:w="2003"/>
        <w:gridCol w:w="4062"/>
        <w:tblGridChange w:id="0">
          <w:tblGrid>
            <w:gridCol w:w="2003"/>
            <w:gridCol w:w="2003"/>
            <w:gridCol w:w="406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center"/>
              <w:rPr>
                <w:rFonts w:ascii="Basic" w:cs="Basic" w:eastAsia="Basic" w:hAnsi="Bas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Clases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center"/>
              <w:rPr>
                <w:rFonts w:ascii="Basic" w:cs="Basic" w:eastAsia="Basic" w:hAnsi="Bas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Descripción de la metodología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center"/>
              <w:rPr>
                <w:rFonts w:ascii="Basic" w:cs="Basic" w:eastAsia="Basic" w:hAnsi="Bas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Teóricas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rFonts w:ascii="Basic" w:cs="Basic" w:eastAsia="Basic" w:hAnsi="Bas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18"/>
                <w:szCs w:val="18"/>
                <w:rtl w:val="0"/>
              </w:rPr>
              <w:t xml:space="preserve">Virtuales 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rFonts w:ascii="Basic" w:cs="Basic" w:eastAsia="Basic" w:hAnsi="Bas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sic" w:cs="Basic" w:eastAsia="Basic" w:hAnsi="Bas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18"/>
                <w:szCs w:val="18"/>
                <w:rtl w:val="0"/>
              </w:rPr>
              <w:t xml:space="preserve">Presenciales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rFonts w:ascii="Basic" w:cs="Basic" w:eastAsia="Basic" w:hAnsi="Bas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Teórica-Práctica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18"/>
                <w:szCs w:val="18"/>
                <w:rtl w:val="0"/>
              </w:rPr>
              <w:t xml:space="preserve">Virtuales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rFonts w:ascii="Basic" w:cs="Basic" w:eastAsia="Basic" w:hAnsi="Bas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sic" w:cs="Basic" w:eastAsia="Basic" w:hAnsi="Bas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rFonts w:ascii="Basic" w:cs="Basic" w:eastAsia="Basic" w:hAnsi="Bas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18"/>
                <w:szCs w:val="18"/>
                <w:rtl w:val="0"/>
              </w:rPr>
              <w:t xml:space="preserve">Presenciales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rFonts w:ascii="Basic" w:cs="Basic" w:eastAsia="Basic" w:hAnsi="Basic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Uso de software específico o plataformas web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Fonts w:ascii="Basic" w:cs="Basic" w:eastAsia="Basic" w:hAnsi="Basic"/>
          <w:i w:val="1"/>
          <w:color w:val="000000"/>
          <w:sz w:val="18"/>
          <w:szCs w:val="18"/>
          <w:rtl w:val="0"/>
        </w:rPr>
        <w:t xml:space="preserve">Especificar si durante el cursado se requieren recursos web (aplicativos o plataformas de cualquier tipo) y/o se planifica utilizar software específico. Indique cuáles son y cómo se utilizará.</w:t>
      </w:r>
    </w:p>
    <w:p w:rsidR="00000000" w:rsidDel="00000000" w:rsidP="00000000" w:rsidRDefault="00000000" w:rsidRPr="00000000" w14:paraId="0000006D">
      <w:pP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Formas de evaluación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Fonts w:ascii="Basic" w:cs="Basic" w:eastAsia="Basic" w:hAnsi="Basic"/>
          <w:i w:val="1"/>
          <w:color w:val="000000"/>
          <w:sz w:val="18"/>
          <w:szCs w:val="18"/>
          <w:rtl w:val="0"/>
        </w:rPr>
        <w:t xml:space="preserve">Las formas de evaluación están previstas por reglamento académico de Ingeniería Agronómica. Indique los requisitos para alcanzar cada una de las condiciones en relación a la modalidad de la carrera.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Regulares sin examen final </w:t>
      </w:r>
      <w:r w:rsidDel="00000000" w:rsidR="00000000" w:rsidRPr="00000000">
        <w:rPr>
          <w:rFonts w:ascii="Basic" w:cs="Basic" w:eastAsia="Basic" w:hAnsi="Basic"/>
          <w:color w:val="000000"/>
          <w:sz w:val="18"/>
          <w:szCs w:val="18"/>
          <w:rtl w:val="0"/>
        </w:rPr>
        <w:t xml:space="preserve">(promocionales):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Regulares con examen final: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Libres:</w:t>
      </w:r>
    </w:p>
    <w:p w:rsidR="00000000" w:rsidDel="00000000" w:rsidP="00000000" w:rsidRDefault="00000000" w:rsidRPr="00000000" w14:paraId="00000074">
      <w:pPr>
        <w:ind w:left="426" w:hanging="426"/>
        <w:jc w:val="both"/>
        <w:rPr>
          <w:rFonts w:ascii="Basic" w:cs="Basic" w:eastAsia="Basic" w:hAnsi="Basic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Bibliografía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Libros, revistas y artículos </w:t>
      </w:r>
      <w:r w:rsidDel="00000000" w:rsidR="00000000" w:rsidRPr="00000000">
        <w:rPr>
          <w:rFonts w:ascii="Basic" w:cs="Basic" w:eastAsia="Basic" w:hAnsi="Basic"/>
          <w:color w:val="000000"/>
          <w:sz w:val="18"/>
          <w:szCs w:val="18"/>
          <w:rtl w:val="0"/>
        </w:rPr>
        <w:t xml:space="preserve">(físico o digital)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Recursos en línea</w:t>
      </w:r>
    </w:p>
    <w:p w:rsidR="00000000" w:rsidDel="00000000" w:rsidP="00000000" w:rsidRDefault="00000000" w:rsidRPr="00000000" w14:paraId="0000007A">
      <w:pPr>
        <w:ind w:left="426" w:hanging="426"/>
        <w:jc w:val="both"/>
        <w:rPr>
          <w:rFonts w:ascii="Basic" w:cs="Basic" w:eastAsia="Basic" w:hAnsi="Basic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Cronograma de actividades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Fonts w:ascii="Basic" w:cs="Basic" w:eastAsia="Basic" w:hAnsi="Basic"/>
          <w:i w:val="1"/>
          <w:color w:val="000000"/>
          <w:sz w:val="18"/>
          <w:szCs w:val="18"/>
          <w:rtl w:val="0"/>
        </w:rPr>
        <w:t xml:space="preserve">Consignar a lo largo de 14 semanas la organización del Espacio Curricular incluyendo los trabajos prácticos a desarrollar, las evaluaciones parciales, exposiciones o defensas, etc. Añadir una 15ª semana al cronograma con la leyenda “Recuperatorios”.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8. Otros</w:t>
      </w:r>
    </w:p>
    <w:p w:rsidR="00000000" w:rsidDel="00000000" w:rsidP="00000000" w:rsidRDefault="00000000" w:rsidRPr="00000000" w14:paraId="0000007F">
      <w:pPr>
        <w:ind w:left="426" w:hanging="426"/>
        <w:jc w:val="both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Fonts w:ascii="Basic" w:cs="Basic" w:eastAsia="Basic" w:hAnsi="Basic"/>
          <w:i w:val="1"/>
          <w:color w:val="000000"/>
          <w:sz w:val="18"/>
          <w:szCs w:val="18"/>
          <w:rtl w:val="0"/>
        </w:rPr>
        <w:t xml:space="preserve">Consignar experiencias integradoras con otros Espacios curriculares y si planea Autoevaluación del Espacio Curricular</w:t>
      </w:r>
    </w:p>
    <w:p w:rsidR="00000000" w:rsidDel="00000000" w:rsidP="00000000" w:rsidRDefault="00000000" w:rsidRPr="00000000" w14:paraId="00000080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 PROFESOR RESPONSABLE</w:t>
      </w:r>
    </w:p>
    <w:p w:rsidR="00000000" w:rsidDel="00000000" w:rsidP="00000000" w:rsidRDefault="00000000" w:rsidRPr="00000000" w14:paraId="00000083">
      <w:pPr>
        <w:jc w:val="center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Fonts w:ascii="Basic" w:cs="Basic" w:eastAsia="Basic" w:hAnsi="Basic"/>
          <w:i w:val="1"/>
          <w:color w:val="000000"/>
          <w:sz w:val="18"/>
          <w:szCs w:val="18"/>
          <w:rtl w:val="0"/>
        </w:rPr>
        <w:t xml:space="preserve">Firma aclarada</w:t>
      </w:r>
    </w:p>
    <w:p w:rsidR="00000000" w:rsidDel="00000000" w:rsidP="00000000" w:rsidRDefault="00000000" w:rsidRPr="00000000" w14:paraId="00000084">
      <w:pPr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88">
      <w:pPr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 xml:space="preserve">VISADO</w:t>
      </w:r>
    </w:p>
    <w:p w:rsidR="00000000" w:rsidDel="00000000" w:rsidP="00000000" w:rsidRDefault="00000000" w:rsidRPr="00000000" w14:paraId="0000008C">
      <w:pPr>
        <w:jc w:val="both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Fonts w:ascii="Basic" w:cs="Basic" w:eastAsia="Basic" w:hAnsi="Basic"/>
          <w:i w:val="1"/>
          <w:color w:val="000000"/>
          <w:sz w:val="18"/>
          <w:szCs w:val="18"/>
          <w:rtl w:val="0"/>
        </w:rPr>
        <w:t xml:space="preserve">No completar</w:t>
      </w:r>
    </w:p>
    <w:p w:rsidR="00000000" w:rsidDel="00000000" w:rsidP="00000000" w:rsidRDefault="00000000" w:rsidRPr="00000000" w14:paraId="0000008D">
      <w:pPr>
        <w:jc w:val="both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Basic" w:cs="Basic" w:eastAsia="Basic" w:hAnsi="Basic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__________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__________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sz w:val="22"/>
                <w:szCs w:val="22"/>
                <w:rtl w:val="0"/>
              </w:rPr>
              <w:t xml:space="preserve">COORDINADOR</w:t>
            </w: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 DE CARRERA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ASESORÍA PEDAGÓGICA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SECRETARÍA ACADÉMICA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ab/>
            </w:r>
          </w:p>
          <w:p w:rsidR="00000000" w:rsidDel="00000000" w:rsidP="00000000" w:rsidRDefault="00000000" w:rsidRPr="00000000" w14:paraId="00000099">
            <w:pPr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Basic" w:cs="Basic" w:eastAsia="Basic" w:hAnsi="Bas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asic" w:cs="Basic" w:eastAsia="Basic" w:hAnsi="Basic"/>
                <w:color w:val="000000"/>
                <w:sz w:val="22"/>
                <w:szCs w:val="22"/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A1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A3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ab/>
        <w:t xml:space="preserve">              </w:t>
        <w:tab/>
        <w:tab/>
        <w:t xml:space="preserve"> </w:t>
      </w:r>
    </w:p>
    <w:p w:rsidR="00000000" w:rsidDel="00000000" w:rsidP="00000000" w:rsidRDefault="00000000" w:rsidRPr="00000000" w14:paraId="000000A4">
      <w:pPr>
        <w:jc w:val="center"/>
        <w:rPr>
          <w:rFonts w:ascii="Basic" w:cs="Basic" w:eastAsia="Basic" w:hAnsi="Bas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/>
      </w:pPr>
      <w:r w:rsidDel="00000000" w:rsidR="00000000" w:rsidRPr="00000000">
        <w:rPr>
          <w:rFonts w:ascii="Basic" w:cs="Basic" w:eastAsia="Basic" w:hAnsi="Basic"/>
          <w:color w:val="000000"/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993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ourier New"/>
  <w:font w:name="Basic">
    <w:embedRegular w:fontKey="{00000000-0000-0000-0000-000000000000}" r:id="rId1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La carga horaria presencial no debe ser superior al 25% de lo asignado al espacio curricular, salvo casos especiales debidamente justificados. Se define la presencialidad como la simultaneidad en tiempo y espacio entre docentes y alumnos. </w:t>
      </w:r>
    </w:p>
  </w:footnote>
  <w:footnote w:id="1"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Se consideran clases teóricas-prácticas a prácticas netas o actividades de integración de contenidos.</w:t>
      </w:r>
    </w:p>
  </w:footnote>
  <w:footnote w:id="2"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Las horas de consulta se computan por fuera de la carga horaria asignada al espacio curricular.</w:t>
      </w:r>
      <w:r w:rsidDel="00000000" w:rsidR="00000000" w:rsidRPr="00000000">
        <w:rPr>
          <w:color w:val="000000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787797" cy="411864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7797" cy="4118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2160" w:hanging="2160"/>
      </w:pPr>
      <w:rPr/>
    </w:lvl>
  </w:abstractNum>
  <w:abstractNum w:abstractNumId="5">
    <w:lvl w:ilvl="0">
      <w:start w:val="6"/>
      <w:numFmt w:val="decimal"/>
      <w:lvlText w:val="%1"/>
      <w:lvlJc w:val="left"/>
      <w:pPr>
        <w:ind w:left="360" w:hanging="360"/>
      </w:pPr>
      <w:rPr>
        <w:i w:val="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 w:val="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 w:val="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i w:val="1"/>
      </w:rPr>
    </w:lvl>
  </w:abstractNum>
  <w:abstractNum w:abstractNumId="6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rsid w:val="00116FCB"/>
  </w:style>
  <w:style w:type="paragraph" w:styleId="Ttulo1">
    <w:name w:val="heading 1"/>
    <w:basedOn w:val="Normal"/>
    <w:next w:val="Normal"/>
    <w:uiPriority w:val="9"/>
    <w:qFormat w:val="1"/>
    <w:rsid w:val="00116FCB"/>
    <w:pPr>
      <w:keepNext w:val="1"/>
      <w:spacing w:after="60" w:before="240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116FCB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16FC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116FCB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116FCB"/>
    <w:pPr>
      <w:spacing w:after="60" w:before="2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116FCB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116FCB"/>
    <w:pPr>
      <w:spacing w:after="60" w:before="240"/>
      <w:jc w:val="center"/>
    </w:pPr>
    <w:rPr>
      <w:rFonts w:ascii="Cambria" w:cs="Cambria" w:eastAsia="Cambria" w:hAnsi="Cambria"/>
      <w:b w:val="1"/>
      <w:sz w:val="32"/>
      <w:szCs w:val="32"/>
    </w:rPr>
  </w:style>
  <w:style w:type="table" w:styleId="TableNormal0" w:customStyle="1">
    <w:name w:val="Table Normal"/>
    <w:rsid w:val="00116FC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116FCB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0" w:customStyle="1">
    <w:basedOn w:val="TableNormal0"/>
    <w:rsid w:val="00116FC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aconcuadrcula">
    <w:name w:val="Table Grid"/>
    <w:basedOn w:val="Tablanormal"/>
    <w:uiPriority w:val="39"/>
    <w:rsid w:val="0017430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2E6DA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E6DAD"/>
  </w:style>
  <w:style w:type="paragraph" w:styleId="Piedepgina">
    <w:name w:val="footer"/>
    <w:basedOn w:val="Normal"/>
    <w:link w:val="PiedepginaCar"/>
    <w:uiPriority w:val="99"/>
    <w:unhideWhenUsed w:val="1"/>
    <w:rsid w:val="002E6DA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E6DAD"/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2E6DAD"/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2E6DAD"/>
  </w:style>
  <w:style w:type="character" w:styleId="Refdenotaalfinal">
    <w:name w:val="endnote reference"/>
    <w:basedOn w:val="Fuentedeprrafopredeter"/>
    <w:uiPriority w:val="99"/>
    <w:semiHidden w:val="1"/>
    <w:unhideWhenUsed w:val="1"/>
    <w:rsid w:val="002E6DA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2E6DAD"/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2E6DAD"/>
  </w:style>
  <w:style w:type="character" w:styleId="Refdenotaalpie">
    <w:name w:val="footnote reference"/>
    <w:basedOn w:val="Fuentedeprrafopredeter"/>
    <w:uiPriority w:val="99"/>
    <w:semiHidden w:val="1"/>
    <w:unhideWhenUsed w:val="1"/>
    <w:rsid w:val="002E6DAD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104057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92F55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92F55"/>
    <w:rPr>
      <w:rFonts w:ascii="Tahoma" w:cs="Tahoma" w:hAnsi="Tahoma"/>
      <w:sz w:val="16"/>
      <w:szCs w:val="16"/>
    </w:r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472c4" w:space="0" w:sz="4" w:val="single"/>
          <w:bottom w:color="4472c4" w:space="0" w:sz="4" w:val="single"/>
          <w:insideH w:color="000000" w:space="0" w:sz="0" w:val="nil"/>
        </w:tcBorders>
      </w:tcPr>
    </w:tblStylePr>
    <w:tblStylePr w:type="band1Vert">
      <w:tcPr>
        <w:tcBorders>
          <w:left w:color="4472c4" w:space="0" w:sz="4" w:val="single"/>
          <w:right w:color="4472c4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472c4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472c4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472c4" w:space="0" w:sz="4" w:val="single"/>
          <w:left w:color="000000" w:space="0" w:sz="0" w:val="nil"/>
        </w:tcBorders>
      </w:tcPr>
    </w:tblStylePr>
    <w:tblStylePr w:type="swCell">
      <w:tcPr>
        <w:tcBorders>
          <w:top w:color="4472c4" w:space="0" w:sz="4" w:val="single"/>
          <w:right w:color="000000" w:space="0" w:sz="0" w:val="nil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sic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DfvNyK8LXQE9mq3PSYym00pfNg==">AMUW2mWkVybZivfmYdB/0Xut6okWzVOmb/aGuur/S6IAqfqEHsoHdE2iph0rblr5KzcI0K88f41UMQAH1Ntc67dhfCx5jh5PihlO+laoWizKCGZRAFVegpo1FefqDmQSKzpNcD/LCZUn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2020-04-16T17:41:00Z</dcterms:created>
  <dc:creator>Cecilia</dc:creator>
</cp:coreProperties>
</file>